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104E28" w:rsidP="003222CD">
      <w:pPr>
        <w:spacing w:after="0" w:line="480" w:lineRule="auto"/>
        <w:jc w:val="center"/>
        <w:rPr>
          <w:b/>
        </w:rPr>
      </w:pPr>
      <w:r>
        <w:rPr>
          <w:b/>
        </w:rPr>
        <w:t xml:space="preserve">ВНЕОЧЕРЕДНАЯ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A54828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A54828">
              <w:rPr>
                <w:b/>
              </w:rPr>
              <w:t>___________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070E2B">
              <w:rPr>
                <w:b/>
              </w:rPr>
              <w:t>20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84187B" w:rsidRPr="00401131" w:rsidRDefault="00A66538" w:rsidP="0084187B">
      <w:pPr>
        <w:spacing w:after="0"/>
        <w:jc w:val="center"/>
        <w:rPr>
          <w:b/>
        </w:rPr>
      </w:pPr>
      <w:r w:rsidRPr="00A66538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br/>
      </w:r>
      <w:r w:rsidRPr="00A66538">
        <w:rPr>
          <w:rStyle w:val="ae"/>
          <w:rFonts w:cs="Times New Roman"/>
          <w:color w:val="000000" w:themeColor="text1"/>
          <w:szCs w:val="28"/>
          <w:shd w:val="clear" w:color="auto" w:fill="FFFFFF"/>
        </w:rPr>
        <w:t xml:space="preserve">Об отказе в установлении границ </w:t>
      </w:r>
      <w:r w:rsidR="0084187B" w:rsidRPr="00401131">
        <w:rPr>
          <w:b/>
        </w:rPr>
        <w:t>ТОС «</w:t>
      </w:r>
      <w:r w:rsidR="0084187B">
        <w:rPr>
          <w:b/>
        </w:rPr>
        <w:t>Президентский</w:t>
      </w:r>
      <w:r w:rsidR="0084187B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66538" w:rsidP="00AE010E">
      <w:pPr>
        <w:spacing w:after="0"/>
        <w:ind w:firstLine="708"/>
        <w:jc w:val="both"/>
      </w:pPr>
      <w:r>
        <w:t>Р</w:t>
      </w:r>
      <w:r w:rsidR="00AE010E" w:rsidRPr="003C6005">
        <w:t>уководствуясь Закон</w:t>
      </w:r>
      <w:r w:rsidR="00AE010E">
        <w:t xml:space="preserve">ом города </w:t>
      </w:r>
      <w:r w:rsidR="00331D1C">
        <w:t>Севастополя от</w:t>
      </w:r>
      <w:r w:rsidR="00AE010E">
        <w:t xml:space="preserve"> 30 декабря 2014 г. </w:t>
      </w:r>
      <w:r w:rsidR="00C7457E">
        <w:t xml:space="preserve">                   </w:t>
      </w:r>
      <w:r w:rsidR="00AE010E">
        <w:t>№ 102-ЗС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B0128D">
        <w:t xml:space="preserve">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="00AE010E" w:rsidRPr="003C6005">
        <w:t xml:space="preserve"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</w:t>
      </w:r>
      <w:r>
        <w:t xml:space="preserve">рассмотрев </w:t>
      </w:r>
      <w:r w:rsidR="00E631A7">
        <w:t xml:space="preserve">заявление представителя инициативной группы граждан по организации </w:t>
      </w:r>
      <w:r w:rsidR="0084187B" w:rsidRPr="0084187B">
        <w:t>ТОС «Президентский»</w:t>
      </w:r>
      <w:r w:rsidR="00C7457E">
        <w:t>, учитывая отрицательные</w:t>
      </w:r>
      <w:r w:rsidR="00E631A7">
        <w:t xml:space="preserve"> </w:t>
      </w:r>
      <w:r w:rsidR="00C7457E">
        <w:t>заключения</w:t>
      </w:r>
      <w:r w:rsidR="00E631A7" w:rsidRPr="00E631A7">
        <w:t xml:space="preserve"> Прокуратуры Гагаринского</w:t>
      </w:r>
      <w:r w:rsidR="002E4AE0">
        <w:t xml:space="preserve"> района г. Севастополя от 22 декабря </w:t>
      </w:r>
      <w:r w:rsidR="00E631A7" w:rsidRPr="00E631A7">
        <w:t>2020</w:t>
      </w:r>
      <w:r w:rsidR="002E4AE0">
        <w:t xml:space="preserve"> г. </w:t>
      </w:r>
      <w:r w:rsidR="00E631A7" w:rsidRPr="00E631A7">
        <w:t xml:space="preserve"> </w:t>
      </w:r>
      <w:r w:rsidR="00E631A7">
        <w:t xml:space="preserve">                               №22/1-02-2020/2411-20-20670003</w:t>
      </w:r>
      <w:r w:rsidR="00C7457E">
        <w:t xml:space="preserve"> и постоянной</w:t>
      </w:r>
      <w:r w:rsidR="00C7457E" w:rsidRPr="00C7457E">
        <w:rPr>
          <w:rFonts w:eastAsia="Times New Roman" w:cs="Times New Roman"/>
          <w:szCs w:val="28"/>
          <w:lang w:eastAsia="ru-RU"/>
        </w:rPr>
        <w:t xml:space="preserve"> комиссии по вопросам депутатской деятельности, этики, законности, правопорядка и развития местного самоуправления</w:t>
      </w:r>
      <w:r w:rsidR="002E4AE0">
        <w:rPr>
          <w:rFonts w:eastAsia="Times New Roman" w:cs="Times New Roman"/>
          <w:szCs w:val="28"/>
          <w:lang w:eastAsia="ru-RU"/>
        </w:rPr>
        <w:t xml:space="preserve"> от 21 декабря </w:t>
      </w:r>
      <w:r w:rsidR="00C7457E">
        <w:rPr>
          <w:rFonts w:eastAsia="Times New Roman" w:cs="Times New Roman"/>
          <w:szCs w:val="28"/>
          <w:lang w:eastAsia="ru-RU"/>
        </w:rPr>
        <w:t>2020 г.</w:t>
      </w:r>
      <w:r w:rsidR="002E4AE0">
        <w:t xml:space="preserve">, </w:t>
      </w:r>
      <w:r w:rsidR="002E4AE0" w:rsidRPr="003C6005">
        <w:t>Совет</w:t>
      </w:r>
      <w:r w:rsidR="00AE010E" w:rsidRPr="003C6005">
        <w:t xml:space="preserve">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B14361">
      <w:pPr>
        <w:pStyle w:val="af"/>
        <w:ind w:firstLine="851"/>
        <w:jc w:val="both"/>
      </w:pPr>
      <w:r>
        <w:t>1.</w:t>
      </w:r>
      <w:r w:rsidR="00C7457E">
        <w:t xml:space="preserve"> Отказать в</w:t>
      </w:r>
      <w:r>
        <w:t xml:space="preserve"> </w:t>
      </w:r>
      <w:r w:rsidR="00C7457E">
        <w:t>установлении границ</w:t>
      </w:r>
      <w:r w:rsidR="00AE010E" w:rsidRPr="003C6005">
        <w:t xml:space="preserve"> территории, в </w:t>
      </w:r>
      <w:r w:rsidR="008509CF">
        <w:t xml:space="preserve">пределах которой предполагалось </w:t>
      </w:r>
      <w:r w:rsidR="00AE010E" w:rsidRPr="003C6005">
        <w:t xml:space="preserve">осуществлять </w:t>
      </w:r>
      <w:r w:rsidR="0084187B" w:rsidRPr="0084187B">
        <w:t>ТОС «Президентский»</w:t>
      </w:r>
      <w:r w:rsidR="00B14361">
        <w:t>,</w:t>
      </w:r>
      <w:r w:rsidR="0009431E">
        <w:t xml:space="preserve"> </w:t>
      </w:r>
      <w:r w:rsidR="0049282F">
        <w:t xml:space="preserve">в связи с включением </w:t>
      </w:r>
      <w:r w:rsidR="0049282F">
        <w:lastRenderedPageBreak/>
        <w:t xml:space="preserve">инициативной группой части земель </w:t>
      </w:r>
      <w:r w:rsidR="0007517D">
        <w:t xml:space="preserve">общего пользования в территорию ТОС, что </w:t>
      </w:r>
      <w:r w:rsidR="0030558C">
        <w:t>не соответствует требованиям федерального законодательства, а также нарушают права, свободы</w:t>
      </w:r>
      <w:r w:rsidR="00B14361">
        <w:t xml:space="preserve"> и законные интересы неопределенных круга лиц</w:t>
      </w:r>
      <w:r w:rsidR="00AE010E">
        <w:t>.</w:t>
      </w:r>
    </w:p>
    <w:p w:rsidR="00C94CCD" w:rsidRDefault="00522556" w:rsidP="00C94CCD">
      <w:pPr>
        <w:pStyle w:val="af"/>
        <w:ind w:firstLine="851"/>
        <w:jc w:val="both"/>
      </w:pPr>
      <w:r>
        <w:t xml:space="preserve">2. </w:t>
      </w:r>
      <w:r w:rsidR="00C94CCD">
        <w:t>При повторном обращении инициативной группы, рекомендуется уточнить границы территории создаваемого ТОС в соответствии с требованиями законодательства Российской Федерации.</w:t>
      </w:r>
    </w:p>
    <w:p w:rsidR="00AE010E" w:rsidRDefault="00522556" w:rsidP="00C94CCD">
      <w:pPr>
        <w:pStyle w:val="af"/>
        <w:ind w:firstLine="851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D620EA" w:rsidP="00522556">
      <w:pPr>
        <w:spacing w:after="0" w:line="240" w:lineRule="auto"/>
        <w:ind w:firstLine="708"/>
        <w:jc w:val="both"/>
      </w:pPr>
      <w:r>
        <w:t>4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D620EA" w:rsidRPr="00D620EA" w:rsidRDefault="00D620EA" w:rsidP="00D620E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D620EA">
        <w:rPr>
          <w:rFonts w:eastAsia="Times New Roman" w:cs="Times New Roman"/>
          <w:color w:val="000000"/>
          <w:spacing w:val="-1"/>
          <w:szCs w:val="28"/>
        </w:rPr>
        <w:t xml:space="preserve">Глава внутригородского муниципального образования, </w:t>
      </w:r>
    </w:p>
    <w:p w:rsidR="00D620EA" w:rsidRP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исполняющий полномочия председателя Совета, </w:t>
      </w:r>
    </w:p>
    <w:p w:rsid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Глава местной </w:t>
      </w:r>
      <w:r w:rsidR="006772DB">
        <w:rPr>
          <w:rFonts w:eastAsia="Calibri" w:cs="Times New Roman"/>
          <w:color w:val="000000"/>
          <w:spacing w:val="-1"/>
          <w:szCs w:val="28"/>
        </w:rPr>
        <w:t>а</w:t>
      </w:r>
      <w:bookmarkStart w:id="0" w:name="_GoBack"/>
      <w:bookmarkEnd w:id="0"/>
      <w:r w:rsidRPr="00D620EA">
        <w:rPr>
          <w:rFonts w:eastAsia="Calibri" w:cs="Times New Roman"/>
          <w:color w:val="000000"/>
          <w:spacing w:val="-1"/>
          <w:szCs w:val="28"/>
        </w:rPr>
        <w:t>дминистрации</w:t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  <w:t>А.Ю. Ярусов</w:t>
      </w:r>
    </w:p>
    <w:p w:rsidR="000D5A91" w:rsidRDefault="000D5A91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</w:p>
    <w:sectPr w:rsidR="00D302F8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49A" w:rsidRDefault="0058649A" w:rsidP="009A0608">
      <w:pPr>
        <w:spacing w:after="0" w:line="240" w:lineRule="auto"/>
      </w:pPr>
      <w:r>
        <w:separator/>
      </w:r>
    </w:p>
  </w:endnote>
  <w:endnote w:type="continuationSeparator" w:id="0">
    <w:p w:rsidR="0058649A" w:rsidRDefault="0058649A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49A" w:rsidRDefault="0058649A" w:rsidP="009A0608">
      <w:pPr>
        <w:spacing w:after="0" w:line="240" w:lineRule="auto"/>
      </w:pPr>
      <w:r>
        <w:separator/>
      </w:r>
    </w:p>
  </w:footnote>
  <w:footnote w:type="continuationSeparator" w:id="0">
    <w:p w:rsidR="0058649A" w:rsidRDefault="0058649A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45506"/>
    <w:rsid w:val="00056395"/>
    <w:rsid w:val="00070E2B"/>
    <w:rsid w:val="0007517D"/>
    <w:rsid w:val="0009431E"/>
    <w:rsid w:val="00097423"/>
    <w:rsid w:val="000A1050"/>
    <w:rsid w:val="000A4A01"/>
    <w:rsid w:val="000C1F3E"/>
    <w:rsid w:val="000D2E0B"/>
    <w:rsid w:val="000D5A91"/>
    <w:rsid w:val="000E67B8"/>
    <w:rsid w:val="001029F4"/>
    <w:rsid w:val="00104E28"/>
    <w:rsid w:val="001155D7"/>
    <w:rsid w:val="00177DB3"/>
    <w:rsid w:val="00182200"/>
    <w:rsid w:val="001A272F"/>
    <w:rsid w:val="001A74A8"/>
    <w:rsid w:val="001B310B"/>
    <w:rsid w:val="001C7784"/>
    <w:rsid w:val="001F6CFE"/>
    <w:rsid w:val="00245183"/>
    <w:rsid w:val="00255AE7"/>
    <w:rsid w:val="00260C4B"/>
    <w:rsid w:val="002663FF"/>
    <w:rsid w:val="00274876"/>
    <w:rsid w:val="002756F7"/>
    <w:rsid w:val="00284C75"/>
    <w:rsid w:val="002A41F1"/>
    <w:rsid w:val="002E4AE0"/>
    <w:rsid w:val="003053F2"/>
    <w:rsid w:val="0030558C"/>
    <w:rsid w:val="003222CD"/>
    <w:rsid w:val="00331D1C"/>
    <w:rsid w:val="00372BF9"/>
    <w:rsid w:val="00385CA6"/>
    <w:rsid w:val="00397E17"/>
    <w:rsid w:val="003C6005"/>
    <w:rsid w:val="00401131"/>
    <w:rsid w:val="004316D8"/>
    <w:rsid w:val="00437B63"/>
    <w:rsid w:val="00440F37"/>
    <w:rsid w:val="0049282F"/>
    <w:rsid w:val="00497E72"/>
    <w:rsid w:val="004B6244"/>
    <w:rsid w:val="004D6D9F"/>
    <w:rsid w:val="004F47C1"/>
    <w:rsid w:val="00500EC2"/>
    <w:rsid w:val="00515698"/>
    <w:rsid w:val="00517744"/>
    <w:rsid w:val="00522556"/>
    <w:rsid w:val="00534CF3"/>
    <w:rsid w:val="00547CE1"/>
    <w:rsid w:val="00551522"/>
    <w:rsid w:val="0058649A"/>
    <w:rsid w:val="00587107"/>
    <w:rsid w:val="005B4240"/>
    <w:rsid w:val="005C0575"/>
    <w:rsid w:val="005D2D81"/>
    <w:rsid w:val="005E457B"/>
    <w:rsid w:val="005E7403"/>
    <w:rsid w:val="00601E16"/>
    <w:rsid w:val="0062164C"/>
    <w:rsid w:val="006549EC"/>
    <w:rsid w:val="006762E7"/>
    <w:rsid w:val="006772DB"/>
    <w:rsid w:val="0068099B"/>
    <w:rsid w:val="00684E89"/>
    <w:rsid w:val="00692AAC"/>
    <w:rsid w:val="006C6C43"/>
    <w:rsid w:val="006D5A3C"/>
    <w:rsid w:val="006D7B16"/>
    <w:rsid w:val="006F6F4D"/>
    <w:rsid w:val="007122A7"/>
    <w:rsid w:val="00781120"/>
    <w:rsid w:val="007A3975"/>
    <w:rsid w:val="007B6D6D"/>
    <w:rsid w:val="007C457C"/>
    <w:rsid w:val="007D3F1C"/>
    <w:rsid w:val="00803499"/>
    <w:rsid w:val="008218E7"/>
    <w:rsid w:val="00821DC2"/>
    <w:rsid w:val="00822D99"/>
    <w:rsid w:val="0084000B"/>
    <w:rsid w:val="0084187B"/>
    <w:rsid w:val="008509CF"/>
    <w:rsid w:val="00860F47"/>
    <w:rsid w:val="00887104"/>
    <w:rsid w:val="008E5D97"/>
    <w:rsid w:val="008F59ED"/>
    <w:rsid w:val="0091190A"/>
    <w:rsid w:val="00917C0F"/>
    <w:rsid w:val="009373E8"/>
    <w:rsid w:val="009416F3"/>
    <w:rsid w:val="00954E3C"/>
    <w:rsid w:val="00987972"/>
    <w:rsid w:val="00990350"/>
    <w:rsid w:val="00995095"/>
    <w:rsid w:val="009A0608"/>
    <w:rsid w:val="009A6B63"/>
    <w:rsid w:val="009B2DD6"/>
    <w:rsid w:val="00A113EE"/>
    <w:rsid w:val="00A250C3"/>
    <w:rsid w:val="00A34E45"/>
    <w:rsid w:val="00A413DC"/>
    <w:rsid w:val="00A444BC"/>
    <w:rsid w:val="00A54828"/>
    <w:rsid w:val="00A66538"/>
    <w:rsid w:val="00AC4124"/>
    <w:rsid w:val="00AE010E"/>
    <w:rsid w:val="00AE1C21"/>
    <w:rsid w:val="00AF5CC0"/>
    <w:rsid w:val="00B0128D"/>
    <w:rsid w:val="00B1436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5891"/>
    <w:rsid w:val="00C560BD"/>
    <w:rsid w:val="00C7457E"/>
    <w:rsid w:val="00C74806"/>
    <w:rsid w:val="00C907CF"/>
    <w:rsid w:val="00C94CCD"/>
    <w:rsid w:val="00CB2DCA"/>
    <w:rsid w:val="00CB7FE0"/>
    <w:rsid w:val="00CE2518"/>
    <w:rsid w:val="00CE373F"/>
    <w:rsid w:val="00CF76F8"/>
    <w:rsid w:val="00D01C0C"/>
    <w:rsid w:val="00D302F8"/>
    <w:rsid w:val="00D620EA"/>
    <w:rsid w:val="00D865D8"/>
    <w:rsid w:val="00DD24DA"/>
    <w:rsid w:val="00DE626F"/>
    <w:rsid w:val="00DE6B69"/>
    <w:rsid w:val="00DF206F"/>
    <w:rsid w:val="00DF4E87"/>
    <w:rsid w:val="00E05DCA"/>
    <w:rsid w:val="00E53730"/>
    <w:rsid w:val="00E631A7"/>
    <w:rsid w:val="00E86AED"/>
    <w:rsid w:val="00ED0E59"/>
    <w:rsid w:val="00EE18C9"/>
    <w:rsid w:val="00EF2267"/>
    <w:rsid w:val="00EF40CA"/>
    <w:rsid w:val="00F0665E"/>
    <w:rsid w:val="00F17342"/>
    <w:rsid w:val="00F224FF"/>
    <w:rsid w:val="00F66E74"/>
    <w:rsid w:val="00F67CAC"/>
    <w:rsid w:val="00F83D3A"/>
    <w:rsid w:val="00F90700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A66538"/>
    <w:rPr>
      <w:b/>
      <w:bCs/>
    </w:rPr>
  </w:style>
  <w:style w:type="paragraph" w:styleId="af">
    <w:name w:val="No Spacing"/>
    <w:uiPriority w:val="1"/>
    <w:qFormat/>
    <w:rsid w:val="00B1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5D77-E07C-413A-8522-6F641A67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3</cp:revision>
  <cp:lastPrinted>2020-12-24T13:45:00Z</cp:lastPrinted>
  <dcterms:created xsi:type="dcterms:W3CDTF">2020-12-28T05:49:00Z</dcterms:created>
  <dcterms:modified xsi:type="dcterms:W3CDTF">2020-12-28T05:49:00Z</dcterms:modified>
</cp:coreProperties>
</file>